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OPPAB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 Perathoner, 10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39100 – Bolzano (BZ)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landszahlstelle@pec.prov.bz.it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OPRL LOMBARDIA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              sede locale di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telefono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